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39" w:rsidRPr="00F12CB5" w:rsidRDefault="00865F39" w:rsidP="00865F39">
      <w:pPr>
        <w:spacing w:after="240" w:line="264" w:lineRule="auto"/>
        <w:jc w:val="lowKashida"/>
        <w:rPr>
          <w:rFonts w:ascii="Times New Roman" w:hAnsi="Times New Roman" w:cs="B Nazanin"/>
          <w:b/>
          <w:bCs/>
          <w:szCs w:val="26"/>
          <w:rtl/>
        </w:rPr>
      </w:pPr>
      <w:r>
        <w:rPr>
          <w:rFonts w:ascii="Times New Roman" w:hAnsi="Times New Roman" w:cs="B Nazanin" w:hint="cs"/>
          <w:b/>
          <w:bCs/>
          <w:szCs w:val="26"/>
          <w:rtl/>
        </w:rPr>
        <w:t xml:space="preserve">منابع و مآخذ 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اشرف،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احمد،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1395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هو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ت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از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دوران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باستان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تا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پا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ان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پهلو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تدو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حم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د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احمد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نشر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اقتدار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احمد،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1389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خل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ج‌فارس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از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د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رباز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تاکنون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ام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رکب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باقر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مهر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1378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کارنامه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اردش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بابکان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قطره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بهار،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مهرداد،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1389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پژوهش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در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اساط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آگاه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ـــــــــــــ،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1397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بندهش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توس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بهزاد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رق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ه،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1368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بندهش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هند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مؤسسه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مطالعات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تحق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قات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فرهنگ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ب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ات،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عز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زالله،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1377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شناسا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یی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منابع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مآخذ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ام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رکب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پ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>
        <w:rPr>
          <w:rFonts w:ascii="Times New Roman" w:hAnsi="Times New Roman" w:cs="B Nazanin" w:hint="eastAsia"/>
          <w:sz w:val="20"/>
          <w:szCs w:val="24"/>
          <w:rtl/>
        </w:rPr>
        <w:t>گو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لوسکا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ن،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1372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شهرها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در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روزگار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پارت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ان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ساسان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ان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عنا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ت‌الله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رضا،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علم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فرهنگ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تفضل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احمد،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1354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م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نو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خرد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بن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اد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فرهنگ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ران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در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تورج،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1388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شهرستان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softHyphen/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ها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رانشهر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شهرام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جل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ل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توس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ــــــــــــ،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1392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شاهنشاه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ساسان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مرتض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ثاقب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فر،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ققنوس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رض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هاشم،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1382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اَوستا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بهجت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فر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دون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نژاد،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محمدصادق،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1391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راهستان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در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گذر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ش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راز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لاف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فره</w:t>
      </w:r>
      <w:r w:rsidRPr="00A76C6C">
        <w:rPr>
          <w:rFonts w:ascii="Times New Roman" w:hAnsi="Times New Roman" w:cs="B Nazanin"/>
          <w:sz w:val="20"/>
          <w:szCs w:val="24"/>
          <w:rtl/>
        </w:rPr>
        <w:softHyphen/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وش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بهرام،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1345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کارنامه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اردش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بابکان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دانشگاه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کسرو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احمد،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1342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کارنامه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اردش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بابکان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پا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دار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گ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ور،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مر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حم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درضا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بخت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ار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فرد،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1393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درسنامه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وصف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خل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ج‌فارس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در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نقشه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softHyphen/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ها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سپند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نو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.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گ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6A5F6F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pacing w:val="-4"/>
          <w:sz w:val="20"/>
          <w:szCs w:val="24"/>
          <w:rtl/>
        </w:rPr>
      </w:pP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مجتهدزاده،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پ</w:t>
      </w:r>
      <w:r w:rsidRPr="006A5F6F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روز،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1376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«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نگاه</w:t>
      </w:r>
      <w:r w:rsidRPr="006A5F6F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به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جغراف</w:t>
      </w:r>
      <w:r w:rsidRPr="006A5F6F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ا</w:t>
      </w:r>
      <w:r w:rsidRPr="006A5F6F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تار</w:t>
      </w:r>
      <w:r w:rsidRPr="006A5F6F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خ</w:t>
      </w:r>
      <w:r w:rsidRPr="006A5F6F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خل</w:t>
      </w:r>
      <w:r w:rsidRPr="006A5F6F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ج‌فارس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(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ا</w:t>
      </w:r>
      <w:r w:rsidRPr="006A5F6F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ران</w:t>
      </w:r>
      <w:r w:rsidRPr="006A5F6F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ان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در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خل</w:t>
      </w:r>
      <w:r w:rsidRPr="006A5F6F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ج‌فارس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>)»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فصلنامه</w:t>
      </w:r>
      <w:r w:rsidRPr="006A5F6F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جغراف</w:t>
      </w:r>
      <w:r w:rsidRPr="006A5F6F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6A5F6F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ا</w:t>
      </w:r>
      <w:r w:rsidRPr="006A5F6F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یی</w:t>
      </w:r>
      <w:r w:rsidRPr="006A5F6F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سپهر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سازمان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جغراف</w:t>
      </w:r>
      <w:r w:rsidRPr="006A5F6F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ا</w:t>
      </w:r>
      <w:r w:rsidRPr="006A5F6F">
        <w:rPr>
          <w:rFonts w:ascii="Times New Roman" w:hAnsi="Times New Roman" w:cs="B Nazanin" w:hint="cs"/>
          <w:spacing w:val="-4"/>
          <w:sz w:val="20"/>
          <w:szCs w:val="24"/>
          <w:rtl/>
        </w:rPr>
        <w:t>یی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ن</w:t>
      </w:r>
      <w:r w:rsidRPr="006A5F6F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روها</w:t>
      </w:r>
      <w:r w:rsidRPr="006A5F6F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مسلح،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شماره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22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سال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ششم،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4"/>
          <w:sz w:val="20"/>
          <w:szCs w:val="24"/>
          <w:rtl/>
        </w:rPr>
        <w:t>صص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47 </w:t>
      </w:r>
      <w:r w:rsidRPr="006A5F6F">
        <w:rPr>
          <w:rFonts w:ascii="Times New Roman" w:hAnsi="Times New Roman" w:cs="Times New Roman" w:hint="cs"/>
          <w:spacing w:val="-4"/>
          <w:sz w:val="20"/>
          <w:szCs w:val="24"/>
          <w:rtl/>
        </w:rPr>
        <w:t>–</w:t>
      </w:r>
      <w:r w:rsidRPr="006A5F6F">
        <w:rPr>
          <w:rFonts w:ascii="Times New Roman" w:hAnsi="Times New Roman" w:cs="B Nazanin"/>
          <w:spacing w:val="-4"/>
          <w:sz w:val="20"/>
          <w:szCs w:val="24"/>
          <w:rtl/>
        </w:rPr>
        <w:t xml:space="preserve"> 34.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مشکور،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محمدجواد،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1329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کارنامه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اردش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بابکان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تبر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ز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کتابفروش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چاپخانه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دانش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مع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ن،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محمد،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1388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فرهنگ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مع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ن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جلد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دوم،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ام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رکب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نشات،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صادق،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1344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س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اس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خل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ج‌فارس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شرکت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کانون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کتاب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وثوق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محمدباقر،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1384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خل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ج‌فارس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ممالک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همجوار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سمت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ــــــــــــــــــ،</w:t>
      </w:r>
      <w:r w:rsidRPr="00A76C6C">
        <w:rPr>
          <w:rFonts w:ascii="Times New Roman" w:hAnsi="Times New Roman" w:cs="B Nazanin"/>
          <w:sz w:val="20"/>
          <w:szCs w:val="24"/>
          <w:rtl/>
        </w:rPr>
        <w:t>1387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بررس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منابع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مآخذ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پ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ش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از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اسلا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دانشگاه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پ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ام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 نور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وُلسک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وزف،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1383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شاهنشاه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اشکان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مرتض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ثاقب</w:t>
      </w:r>
      <w:r>
        <w:rPr>
          <w:rFonts w:ascii="Times New Roman" w:hAnsi="Times New Roman" w:cs="B Nazanin" w:hint="cs"/>
          <w:sz w:val="20"/>
          <w:szCs w:val="24"/>
          <w:rtl/>
        </w:rPr>
        <w:t>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فر،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ققنوس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هاشم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نژاد،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قاسم،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1385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کارنامه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اردش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بابکان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نشر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مرکز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A76C6C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76C6C">
        <w:rPr>
          <w:rFonts w:ascii="Times New Roman" w:hAnsi="Times New Roman" w:cs="B Nazanin" w:hint="eastAsia"/>
          <w:sz w:val="20"/>
          <w:szCs w:val="24"/>
          <w:rtl/>
        </w:rPr>
        <w:t>هدا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صادق،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1342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زند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وهومن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سن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کارنامه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اردش</w:t>
      </w:r>
      <w:r w:rsidRPr="00A76C6C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ر</w:t>
      </w:r>
      <w:r w:rsidRPr="00A76C6C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i/>
          <w:iCs/>
          <w:sz w:val="20"/>
          <w:szCs w:val="24"/>
          <w:rtl/>
        </w:rPr>
        <w:t>بابکان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A76C6C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ام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رکب</w:t>
      </w:r>
      <w:r w:rsidRPr="00A76C6C">
        <w:rPr>
          <w:rFonts w:ascii="Times New Roman" w:hAnsi="Times New Roman" w:cs="B Nazanin" w:hint="cs"/>
          <w:sz w:val="20"/>
          <w:szCs w:val="24"/>
          <w:rtl/>
        </w:rPr>
        <w:t>ی</w:t>
      </w:r>
      <w:r w:rsidRPr="00A76C6C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76C6C">
        <w:rPr>
          <w:rFonts w:ascii="Times New Roman" w:hAnsi="Times New Roman" w:cs="B Nazanin"/>
          <w:sz w:val="20"/>
          <w:szCs w:val="24"/>
          <w:rtl/>
        </w:rPr>
        <w:t>.</w:t>
      </w:r>
    </w:p>
    <w:p w:rsidR="00865F39" w:rsidRPr="006A5F6F" w:rsidRDefault="00865F39" w:rsidP="00865F39">
      <w:pPr>
        <w:spacing w:after="0" w:line="264" w:lineRule="auto"/>
        <w:ind w:left="197"/>
        <w:jc w:val="lowKashida"/>
        <w:rPr>
          <w:rFonts w:ascii="Times New Roman" w:hAnsi="Times New Roman" w:cs="B Nazanin"/>
          <w:spacing w:val="-6"/>
          <w:sz w:val="20"/>
          <w:szCs w:val="24"/>
          <w:rtl/>
        </w:rPr>
      </w:pP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ه</w:t>
      </w:r>
      <w:r w:rsidRPr="006A5F6F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نلز،</w:t>
      </w:r>
      <w:r w:rsidRPr="006A5F6F">
        <w:rPr>
          <w:rFonts w:ascii="Times New Roman" w:hAnsi="Times New Roman" w:cs="B Nazanin"/>
          <w:spacing w:val="-6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جان،</w:t>
      </w:r>
      <w:r w:rsidRPr="006A5F6F">
        <w:rPr>
          <w:rFonts w:ascii="Times New Roman" w:hAnsi="Times New Roman" w:cs="B Nazanin"/>
          <w:spacing w:val="-6"/>
          <w:sz w:val="20"/>
          <w:szCs w:val="24"/>
          <w:rtl/>
        </w:rPr>
        <w:t xml:space="preserve"> 1387</w:t>
      </w: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،</w:t>
      </w:r>
      <w:r w:rsidRPr="006A5F6F">
        <w:rPr>
          <w:rFonts w:ascii="Times New Roman" w:hAnsi="Times New Roman" w:cs="B Nazanin"/>
          <w:spacing w:val="-6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i/>
          <w:iCs/>
          <w:spacing w:val="-6"/>
          <w:sz w:val="20"/>
          <w:szCs w:val="24"/>
          <w:rtl/>
        </w:rPr>
        <w:t>شناخت</w:t>
      </w:r>
      <w:r w:rsidRPr="006A5F6F">
        <w:rPr>
          <w:rFonts w:ascii="Times New Roman" w:hAnsi="Times New Roman" w:cs="B Nazanin"/>
          <w:i/>
          <w:iCs/>
          <w:spacing w:val="-6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i/>
          <w:iCs/>
          <w:spacing w:val="-6"/>
          <w:sz w:val="20"/>
          <w:szCs w:val="24"/>
          <w:rtl/>
        </w:rPr>
        <w:t>اساط</w:t>
      </w:r>
      <w:r w:rsidRPr="006A5F6F">
        <w:rPr>
          <w:rFonts w:ascii="Times New Roman" w:hAnsi="Times New Roman" w:cs="B Nazanin" w:hint="cs"/>
          <w:i/>
          <w:iCs/>
          <w:spacing w:val="-6"/>
          <w:sz w:val="20"/>
          <w:szCs w:val="24"/>
          <w:rtl/>
        </w:rPr>
        <w:t>ی</w:t>
      </w:r>
      <w:r w:rsidRPr="006A5F6F">
        <w:rPr>
          <w:rFonts w:ascii="Times New Roman" w:hAnsi="Times New Roman" w:cs="B Nazanin" w:hint="eastAsia"/>
          <w:i/>
          <w:iCs/>
          <w:spacing w:val="-6"/>
          <w:sz w:val="20"/>
          <w:szCs w:val="24"/>
          <w:rtl/>
        </w:rPr>
        <w:t>ر</w:t>
      </w:r>
      <w:r w:rsidRPr="006A5F6F">
        <w:rPr>
          <w:rFonts w:ascii="Times New Roman" w:hAnsi="Times New Roman" w:cs="B Nazanin"/>
          <w:i/>
          <w:iCs/>
          <w:spacing w:val="-6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i/>
          <w:iCs/>
          <w:spacing w:val="-6"/>
          <w:sz w:val="20"/>
          <w:szCs w:val="24"/>
          <w:rtl/>
        </w:rPr>
        <w:t>ا</w:t>
      </w:r>
      <w:r w:rsidRPr="006A5F6F">
        <w:rPr>
          <w:rFonts w:ascii="Times New Roman" w:hAnsi="Times New Roman" w:cs="B Nazanin" w:hint="cs"/>
          <w:i/>
          <w:iCs/>
          <w:spacing w:val="-6"/>
          <w:sz w:val="20"/>
          <w:szCs w:val="24"/>
          <w:rtl/>
        </w:rPr>
        <w:t>ی</w:t>
      </w:r>
      <w:r w:rsidRPr="006A5F6F">
        <w:rPr>
          <w:rFonts w:ascii="Times New Roman" w:hAnsi="Times New Roman" w:cs="B Nazanin" w:hint="eastAsia"/>
          <w:i/>
          <w:iCs/>
          <w:spacing w:val="-6"/>
          <w:sz w:val="20"/>
          <w:szCs w:val="24"/>
          <w:rtl/>
        </w:rPr>
        <w:t>ران</w:t>
      </w: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،</w:t>
      </w:r>
      <w:r w:rsidRPr="006A5F6F">
        <w:rPr>
          <w:rFonts w:ascii="Times New Roman" w:hAnsi="Times New Roman" w:cs="B Nazanin"/>
          <w:spacing w:val="-6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ترجمه</w:t>
      </w:r>
      <w:r w:rsidRPr="006A5F6F">
        <w:rPr>
          <w:rFonts w:ascii="Times New Roman" w:hAnsi="Times New Roman" w:cs="B Nazanin"/>
          <w:spacing w:val="-6"/>
          <w:sz w:val="20"/>
          <w:szCs w:val="24"/>
          <w:rtl/>
        </w:rPr>
        <w:t xml:space="preserve">: </w:t>
      </w: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ژاله</w:t>
      </w:r>
      <w:r w:rsidRPr="006A5F6F">
        <w:rPr>
          <w:rFonts w:ascii="Times New Roman" w:hAnsi="Times New Roman" w:cs="B Nazanin"/>
          <w:spacing w:val="-6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آموزگار</w:t>
      </w:r>
      <w:r w:rsidRPr="006A5F6F">
        <w:rPr>
          <w:rFonts w:ascii="Times New Roman" w:hAnsi="Times New Roman" w:cs="B Nazanin"/>
          <w:spacing w:val="-6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و</w:t>
      </w:r>
      <w:r w:rsidRPr="006A5F6F">
        <w:rPr>
          <w:rFonts w:ascii="Times New Roman" w:hAnsi="Times New Roman" w:cs="B Nazanin"/>
          <w:spacing w:val="-6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احمد</w:t>
      </w:r>
      <w:r w:rsidRPr="006A5F6F">
        <w:rPr>
          <w:rFonts w:ascii="Times New Roman" w:hAnsi="Times New Roman" w:cs="B Nazanin"/>
          <w:spacing w:val="-6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تفضل</w:t>
      </w:r>
      <w:r w:rsidRPr="006A5F6F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،</w:t>
      </w:r>
      <w:r w:rsidRPr="006A5F6F">
        <w:rPr>
          <w:rFonts w:ascii="Times New Roman" w:hAnsi="Times New Roman" w:cs="B Nazanin"/>
          <w:spacing w:val="-6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تهران</w:t>
      </w:r>
      <w:r w:rsidRPr="006A5F6F">
        <w:rPr>
          <w:rFonts w:ascii="Times New Roman" w:hAnsi="Times New Roman" w:cs="B Nazanin"/>
          <w:spacing w:val="-6"/>
          <w:sz w:val="20"/>
          <w:szCs w:val="24"/>
          <w:rtl/>
        </w:rPr>
        <w:t xml:space="preserve">: </w:t>
      </w: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نشر</w:t>
      </w:r>
      <w:r w:rsidRPr="006A5F6F">
        <w:rPr>
          <w:rFonts w:ascii="Times New Roman" w:hAnsi="Times New Roman" w:cs="B Nazanin"/>
          <w:spacing w:val="-6"/>
          <w:sz w:val="20"/>
          <w:szCs w:val="24"/>
          <w:rtl/>
        </w:rPr>
        <w:t xml:space="preserve"> </w:t>
      </w:r>
      <w:r w:rsidRPr="006A5F6F">
        <w:rPr>
          <w:rFonts w:ascii="Times New Roman" w:hAnsi="Times New Roman" w:cs="B Nazanin" w:hint="eastAsia"/>
          <w:spacing w:val="-6"/>
          <w:sz w:val="20"/>
          <w:szCs w:val="24"/>
          <w:rtl/>
        </w:rPr>
        <w:t>چشمه</w:t>
      </w:r>
      <w:r w:rsidRPr="006A5F6F">
        <w:rPr>
          <w:rFonts w:ascii="Times New Roman" w:hAnsi="Times New Roman" w:cs="B Nazanin"/>
          <w:spacing w:val="-6"/>
          <w:sz w:val="20"/>
          <w:szCs w:val="24"/>
          <w:rtl/>
        </w:rPr>
        <w:t>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</w:rPr>
        <w:t xml:space="preserve">Awtabi, S. M.,2001 Kitab ansab al-arab. Bibliotheque Nationale Ms. Arabe  5019.271r.Quoted in Hoyland, R.,Arabia and the Arabs from  the Bronze Age the coming of Islam , Routledge, New York and London, pp.28. 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</w:rPr>
        <w:t>Bahar,M.,1375 Pajuhesi dar Asatiri-ye Iran (A Study of Myths of Iran). Agah, Tehran.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</w:rPr>
        <w:t>Barmaki, D. C.,1975 An Ancient Caravan Station in Dubai. Illustrated London News, 2903.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</w:rPr>
        <w:t>Boucharlat, R. and J. F. Salles,1981 The history and archaeology of the Gulf from the 5</w:t>
      </w:r>
      <w:r w:rsidRPr="00E87F39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th</w:t>
      </w:r>
      <w:r w:rsidRPr="00E87F39">
        <w:rPr>
          <w:rFonts w:ascii="Times New Roman" w:hAnsi="Times New Roman" w:cs="Times New Roman"/>
          <w:spacing w:val="-2"/>
          <w:sz w:val="20"/>
          <w:szCs w:val="20"/>
        </w:rPr>
        <w:t xml:space="preserve"> century B. C. to the 7</w:t>
      </w:r>
      <w:r w:rsidRPr="00E87F39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th</w:t>
      </w:r>
      <w:r w:rsidRPr="00E87F39">
        <w:rPr>
          <w:rFonts w:ascii="Times New Roman" w:hAnsi="Times New Roman" w:cs="Times New Roman"/>
          <w:spacing w:val="-2"/>
          <w:sz w:val="20"/>
          <w:szCs w:val="20"/>
        </w:rPr>
        <w:t xml:space="preserve"> century A. D.: a review of the evidence. Proceedikgs of the Seminar for Arabiaan Studies 11: 65-94.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</w:rPr>
        <w:lastRenderedPageBreak/>
        <w:t>Bundahisn,1369 Translated by M. Bahar.Intisharat-iTus, Tehran.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</w:rPr>
        <w:t>Daryaee, T.,2002 Sahrestanha i Eransahr, A Middle Persian Text on Late Antique Geography Epic and History. Mazda Publishers, Costa Mesa.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  <w:rtl/>
        </w:rPr>
        <w:t xml:space="preserve"> ـــــــــــــــــــ</w:t>
      </w:r>
      <w:r w:rsidRPr="00E87F39">
        <w:rPr>
          <w:rFonts w:ascii="Times New Roman" w:hAnsi="Times New Roman" w:cs="Times New Roman"/>
          <w:spacing w:val="-2"/>
          <w:sz w:val="20"/>
          <w:szCs w:val="20"/>
        </w:rPr>
        <w:t>2003 The Persian Gulf Trade in Late Antiquity Journal of World History 14(1):1-16.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</w:rPr>
        <w:t>De Cardi,B., 1971 Archaeological Survey in N. Trucial States East and West 21(3-4):225-290.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  <w:rtl/>
        </w:rPr>
        <w:t xml:space="preserve"> ـــــــــــــــــــــــــ</w:t>
      </w:r>
      <w:r w:rsidRPr="00E87F39">
        <w:rPr>
          <w:rFonts w:ascii="Times New Roman" w:hAnsi="Times New Roman" w:cs="Times New Roman"/>
          <w:spacing w:val="-2"/>
          <w:sz w:val="20"/>
          <w:szCs w:val="20"/>
        </w:rPr>
        <w:t>1972 A Sasanian Outpost in Northern Oman. Antiquity 46(184):305-309.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  <w:rtl/>
        </w:rPr>
        <w:t xml:space="preserve"> ــــــــــــــــــــــــ</w:t>
      </w:r>
      <w:r w:rsidRPr="00E87F39">
        <w:rPr>
          <w:rFonts w:ascii="Times New Roman" w:hAnsi="Times New Roman" w:cs="Times New Roman"/>
          <w:spacing w:val="-2"/>
          <w:sz w:val="20"/>
          <w:szCs w:val="20"/>
        </w:rPr>
        <w:t>1974 The British Archaeological Expedition to Qatar 1973-1974.Antiquity48(191):196-200.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</w:rPr>
        <w:t>Farahwashi, B., ed.1354 Karnamag i Ardaxsir i Pabagan. University of Tehran Press. Tehran.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</w:rPr>
        <w:t>Frye, R. N.,1984 The History of Ancient Iran. C.H. Beck sche Verlagsbuchandlung, Munchen.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</w:rPr>
        <w:t>Gerent,F.,1994 Deux notes a propos du monnayage du Xusro II Revue belge  de Numismatique 140: 36-37.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</w:rPr>
        <w:t>Gershevitch, I.,1959 The Avestan Hymn to Mithra Cambridge University Press, Cambridge.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</w:rPr>
        <w:t>Gignoux, ph., 1984 Les quatre regions administratives de 1 Iran sasanide et la symboliques nombres trois et quatre Amali dell Istituto Universitario Orientale di Napoli 44:555-572.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2"/>
          <w:sz w:val="20"/>
          <w:szCs w:val="20"/>
        </w:rPr>
      </w:pPr>
      <w:r w:rsidRPr="00E87F39">
        <w:rPr>
          <w:rFonts w:ascii="Times New Roman" w:hAnsi="Times New Roman" w:cs="Times New Roman"/>
          <w:spacing w:val="-2"/>
          <w:sz w:val="20"/>
          <w:szCs w:val="20"/>
        </w:rPr>
        <w:t>Gnoli,G.,1985 The Quadripartition of the Sasanian Empire. East and West 35:265-270.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Humbach, H., 1991 The Gathas of Zarathushtra and the Other Old Avestan Texts. Part 1. Introduction, Text and, Translation. C. Winter, Heidelberg.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Huyse, ph.,1999 Royal Inscriptions, with their Parhian and Greek Versions: Texts I. Die dreisprachige Inschrift sabuhrs 1, an der Ka ba-i Zardust( SKZ). Vol.1 Corpus Inscriptionum Iranicarum, School of Oriental and African studies, London.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Ibrahim, M.,1990 Merchant Capital and Islam. University of Texas Press, Austin.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Isfahani, H al.,1921 Kitab tarikh sini muluk al-ard wal-anbiya. Matba at Kawiyani. Berlin.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 xml:space="preserve">Istaxri1347 Masalik wa Mamalik. Edited I. Afshar. Ziba press, Tehran. 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Kervran, M.,1994 Forteresses, entrepots  et commerce: une histoia suivre depuis les rois sassanides jusqu aux princes d ormuz. In Curiel, R.&amp;Gyselen, R.(Eds.)ltineraires d Orient, Hommages a Claude Cahen, vol.6, Res Orientales, Groupe pour letude de la civilization du Moyen-Orient, Bures-sur- Yvette,pp.325-350.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6"/>
          <w:sz w:val="20"/>
          <w:szCs w:val="20"/>
        </w:rPr>
      </w:pPr>
      <w:r w:rsidRPr="00E87F39">
        <w:rPr>
          <w:rFonts w:ascii="Times New Roman" w:hAnsi="Times New Roman" w:cs="Times New Roman"/>
          <w:spacing w:val="-6"/>
          <w:sz w:val="20"/>
          <w:szCs w:val="20"/>
        </w:rPr>
        <w:t>Kervran,M., F.Hiebert and A. Rougeulle,2005 Qal at al-Bahrain: A Trading and Military Outpost 3</w:t>
      </w:r>
      <w:r w:rsidRPr="00E87F39">
        <w:rPr>
          <w:rFonts w:ascii="Times New Roman" w:hAnsi="Times New Roman" w:cs="Times New Roman"/>
          <w:spacing w:val="-6"/>
          <w:sz w:val="20"/>
          <w:szCs w:val="20"/>
          <w:vertAlign w:val="superscript"/>
        </w:rPr>
        <w:t>rd</w:t>
      </w:r>
      <w:r w:rsidRPr="00E87F39">
        <w:rPr>
          <w:rFonts w:ascii="Times New Roman" w:hAnsi="Times New Roman" w:cs="Times New Roman"/>
          <w:spacing w:val="-6"/>
          <w:sz w:val="20"/>
          <w:szCs w:val="20"/>
        </w:rPr>
        <w:t xml:space="preserve"> millennium B.C-17</w:t>
      </w:r>
      <w:r w:rsidRPr="00E87F39">
        <w:rPr>
          <w:rFonts w:ascii="Times New Roman" w:hAnsi="Times New Roman" w:cs="Times New Roman"/>
          <w:spacing w:val="-6"/>
          <w:sz w:val="20"/>
          <w:szCs w:val="20"/>
          <w:vertAlign w:val="superscript"/>
        </w:rPr>
        <w:t>th</w:t>
      </w:r>
      <w:r w:rsidRPr="00E87F39">
        <w:rPr>
          <w:rFonts w:ascii="Times New Roman" w:hAnsi="Times New Roman" w:cs="Times New Roman"/>
          <w:spacing w:val="-6"/>
          <w:sz w:val="20"/>
          <w:szCs w:val="20"/>
        </w:rPr>
        <w:t xml:space="preserve"> century AD. Brepols, Turnhout.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6"/>
          <w:sz w:val="20"/>
          <w:szCs w:val="20"/>
          <w:rtl/>
        </w:rPr>
      </w:pPr>
      <w:r w:rsidRPr="00E87F39">
        <w:rPr>
          <w:rFonts w:ascii="Times New Roman" w:hAnsi="Times New Roman" w:cs="Times New Roman"/>
          <w:spacing w:val="-6"/>
          <w:sz w:val="20"/>
          <w:szCs w:val="20"/>
        </w:rPr>
        <w:t xml:space="preserve">Kister, M. J.,1968 Al-Hira. Some Notes on its Relations with Arabia Arabica11(2):143-169.       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Cosmas, Indicopleustes, 1967 The Chiristian Topography of Casmas, An Egyptian Monk.Translated from the Greek, and ed., with notes and introd by J.w.McCrindle. Works issued by Hakluyt Society, lst ser., no. 98.B. Franklin , New York.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Kroger,J.,1979 Sasanian Iran and India Questions of Interaction. In Hartel,H(Ed),south Asian Archaeology,D,Reimer Verlag. Berlin,pp,441-448.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Lowick,N.M.,1985 The Coine and Monumental Inscriptions. Siraf 15. The British Institute of Persian Studies, London.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Lukonin, V.,1984 Administrative Institutions During the Parthian and the Sasanian period. In Yarshater, E(Ed), The Cambridge History of Iran, vol.3(2), Cambridge University Press Cambridge.pp.681-746.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pacing w:val="-4"/>
          <w:sz w:val="20"/>
          <w:szCs w:val="20"/>
        </w:rPr>
      </w:pPr>
      <w:r w:rsidRPr="00E87F39">
        <w:rPr>
          <w:rFonts w:ascii="Times New Roman" w:hAnsi="Times New Roman" w:cs="Times New Roman"/>
          <w:spacing w:val="-4"/>
          <w:sz w:val="20"/>
          <w:szCs w:val="20"/>
        </w:rPr>
        <w:t>Morony, M. G.,2002 The Late Sasanian Economic Impact on the Arabian Peninsula. Name ye  Iran-e Bastan The International Journal of Ancient Iranian Studies 1(2):25-37.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Naboodah, H. M al.,1992 The Commercial activity of Bahrain and Oman in the early Middle Ages Proceedings of the Seminar for Arabian studies 22:81-96.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Philby,H. St. J. B.,1920 Southern Najd. The Geographical Journal 55(3): 161-185.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Piacentini, V. F.,1992 Merchants-Merchandise and Military Power in the Persian Gulf( suriyan/shahriyaj-siraf). Atti Della Accademia Nazionale Dei Lincei, Roma.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Pigulevskaia, N. V.,1963 Les villes de I'etat iranien aux epoques parthe et sasanide. Moulon, paris.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Potts, D. T.,1993 A Sasanian Lead Horse from North Eastern Arabia. Iranica Antiqua, vol 28: 193-200.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Rain, I.1350 Darya nawardi-ye Iranian( The Seamanship of Iranians ), vol.I, Tehran.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Rothstein, G.,1899 Die Dynastie de Lahmiden in al-Hira Ein persischen Geschichte zur Zeit der Sasaniden. Reuther and Reichard, Berlin.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Sotoodeh. M. ed.1983 Hudud al-Alam. Tahuri pub, Tehran.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lastRenderedPageBreak/>
        <w:t>Spuler,B.,1970 Trade in the Eastern Islamic Countries in the Early Centuries. In Islam and the Trade in Asia, Richards, D. S. (Ed.), B. Cassirer, Oxford; University of Pennylvania Press, Philadelphia.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Menog i Xrad.,1364 Translated by A. Tafazzoli. Tehran.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Trumpelmann, L.,1984 Sasanian graves and Burial Customs. In Boucharlat, R &amp; Salles, J. F. (Eds.), Arabie orientale, mesopotamie et Iran meridional: de l'age du fer au debut de la periode islamique. Recherche sur les Civilisations, Paris, pp. 317-330.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  <w:rtl/>
        </w:rPr>
        <w:t xml:space="preserve"> ـــــــــــــــــــــــــــــــ</w:t>
      </w:r>
      <w:r w:rsidRPr="00E87F39">
        <w:rPr>
          <w:rFonts w:ascii="Times New Roman" w:hAnsi="Times New Roman" w:cs="Times New Roman"/>
          <w:sz w:val="20"/>
          <w:szCs w:val="20"/>
        </w:rPr>
        <w:t>1992 Zwischen Persepolis und Firuzabad, Graber, Palaste und Felsreliefs im alten Persien. Velag Philipp Von Zabern, Mainz am Rhein.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Whitehouse, D.,1972 Excavations at Siraf: Fifth Interim Report. Iran 10: 63-88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  <w:rtl/>
        </w:rPr>
        <w:t xml:space="preserve"> ــــــــــــــــــــــــــ</w:t>
      </w:r>
      <w:r w:rsidRPr="00E87F39">
        <w:rPr>
          <w:rFonts w:ascii="Times New Roman" w:hAnsi="Times New Roman" w:cs="Times New Roman"/>
          <w:sz w:val="20"/>
          <w:szCs w:val="20"/>
        </w:rPr>
        <w:t>1977 Maritime Trade in the Arabian Sea: The 9</w:t>
      </w:r>
      <w:r w:rsidRPr="00E87F3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87F39">
        <w:rPr>
          <w:rFonts w:ascii="Times New Roman" w:hAnsi="Times New Roman" w:cs="Times New Roman"/>
          <w:sz w:val="20"/>
          <w:szCs w:val="20"/>
        </w:rPr>
        <w:t xml:space="preserve"> and 10</w:t>
      </w:r>
      <w:r w:rsidRPr="00E87F3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87F39">
        <w:rPr>
          <w:rFonts w:ascii="Times New Roman" w:hAnsi="Times New Roman" w:cs="Times New Roman"/>
          <w:sz w:val="20"/>
          <w:szCs w:val="20"/>
        </w:rPr>
        <w:t xml:space="preserve"> Centuries AD. In Taddei, M. (Ed.), South Asian Archaeology, vol. 2, Istituto Universitario Orientale, Naples, pp. 865-887.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Whitehouse, D. and A. Williamson,1973 Sasanian Maritime Trade. Iran 11: 29-50.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</w:rPr>
        <w:t>Wilkinson, J. C.,1975 The Julanda of Oman. The Journal Of Oman Studies 1: 97-108.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</w:rPr>
      </w:pPr>
      <w:r w:rsidRPr="00E87F39">
        <w:rPr>
          <w:rFonts w:ascii="Times New Roman" w:hAnsi="Times New Roman" w:cs="Times New Roman"/>
          <w:sz w:val="20"/>
          <w:szCs w:val="20"/>
          <w:rtl/>
        </w:rPr>
        <w:t xml:space="preserve"> ـــــــــــــــــــــــــ</w:t>
      </w:r>
      <w:r w:rsidRPr="00E87F39">
        <w:rPr>
          <w:rFonts w:ascii="Times New Roman" w:hAnsi="Times New Roman" w:cs="Times New Roman"/>
          <w:sz w:val="20"/>
          <w:szCs w:val="20"/>
        </w:rPr>
        <w:t>1973 Suhar in the Early Islamic Period: The Written Evidence. In Taddei, M. (Ed.), South Asian Archaeology, vol. 2, Istituto Universitario Orientale, Naples, pp. 887-908.</w:t>
      </w:r>
    </w:p>
    <w:p w:rsidR="00865F39" w:rsidRPr="00E87F39" w:rsidRDefault="00865F39" w:rsidP="00865F39">
      <w:pPr>
        <w:bidi w:val="0"/>
        <w:spacing w:after="0" w:line="264" w:lineRule="auto"/>
        <w:ind w:left="197"/>
        <w:jc w:val="lowKashida"/>
        <w:rPr>
          <w:rFonts w:ascii="Times New Roman" w:hAnsi="Times New Roman" w:cs="Times New Roman"/>
          <w:sz w:val="20"/>
          <w:szCs w:val="20"/>
          <w:rtl/>
        </w:rPr>
      </w:pPr>
      <w:r w:rsidRPr="00E87F39">
        <w:rPr>
          <w:rFonts w:ascii="Times New Roman" w:hAnsi="Times New Roman" w:cs="Times New Roman"/>
          <w:sz w:val="20"/>
          <w:szCs w:val="20"/>
        </w:rPr>
        <w:t>Williamson, A.,1972 Persian Gulf Commerce in the Sasanian Period and the First Tow Centuries of Islam. Bastan Chenasi wa Honar-e Iran 9-10: 97-109</w:t>
      </w:r>
      <w:r w:rsidRPr="00E87F39">
        <w:rPr>
          <w:rFonts w:ascii="Times New Roman" w:hAnsi="Times New Roman" w:cs="Times New Roman"/>
          <w:sz w:val="20"/>
          <w:szCs w:val="20"/>
          <w:rtl/>
        </w:rPr>
        <w:t xml:space="preserve">. </w:t>
      </w:r>
    </w:p>
    <w:p w:rsidR="00865F39" w:rsidRPr="00E87F39" w:rsidRDefault="00865F39" w:rsidP="00865F39">
      <w:pPr>
        <w:spacing w:after="0" w:line="264" w:lineRule="auto"/>
        <w:ind w:firstLine="339"/>
        <w:jc w:val="lowKashida"/>
        <w:rPr>
          <w:rFonts w:ascii="Times New Roman" w:hAnsi="Times New Roman" w:cs="B Nazanin"/>
          <w:szCs w:val="26"/>
          <w:rtl/>
        </w:rPr>
      </w:pPr>
    </w:p>
    <w:p w:rsidR="00865F39" w:rsidRPr="00E87F39" w:rsidRDefault="00865F39" w:rsidP="00865F39">
      <w:pPr>
        <w:spacing w:after="0" w:line="264" w:lineRule="auto"/>
        <w:ind w:firstLine="339"/>
        <w:jc w:val="lowKashida"/>
        <w:rPr>
          <w:rFonts w:ascii="Times New Roman" w:hAnsi="Times New Roman" w:cs="B Nazanin"/>
          <w:szCs w:val="26"/>
        </w:rPr>
      </w:pPr>
    </w:p>
    <w:p w:rsidR="00865F39" w:rsidRPr="00E87F39" w:rsidRDefault="00865F39" w:rsidP="00865F39">
      <w:pPr>
        <w:spacing w:after="0" w:line="264" w:lineRule="auto"/>
        <w:ind w:left="720" w:firstLine="339"/>
        <w:jc w:val="lowKashida"/>
        <w:rPr>
          <w:rFonts w:ascii="Times New Roman" w:hAnsi="Times New Roman" w:cs="B Nazanin"/>
          <w:szCs w:val="26"/>
          <w:rtl/>
        </w:rPr>
      </w:pPr>
    </w:p>
    <w:p w:rsidR="00C53964" w:rsidRDefault="00865F39"/>
    <w:sectPr w:rsidR="00C53964" w:rsidSect="0028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865F39"/>
    <w:rsid w:val="000367CA"/>
    <w:rsid w:val="00175CA4"/>
    <w:rsid w:val="001B4218"/>
    <w:rsid w:val="00280784"/>
    <w:rsid w:val="003D5D42"/>
    <w:rsid w:val="00407D5E"/>
    <w:rsid w:val="00710F0E"/>
    <w:rsid w:val="007A380B"/>
    <w:rsid w:val="00865F39"/>
    <w:rsid w:val="008D0D3E"/>
    <w:rsid w:val="0094168D"/>
    <w:rsid w:val="00C2722A"/>
    <w:rsid w:val="00C51B18"/>
    <w:rsid w:val="00DE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39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2021-04-12T09:15:00Z</dcterms:created>
  <dcterms:modified xsi:type="dcterms:W3CDTF">2021-04-12T09:16:00Z</dcterms:modified>
</cp:coreProperties>
</file>